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RÉFÉRENT TECHNIQUE REGIONAL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RÉFÉRENT TECHNIQUE REGIONAL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L01300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