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DU COORDINATEUR FINANCES ET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DU COORDINATEUR FINANCES ET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